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start="0" w:hanging="0"/>
        <w:jc w:val="start"/>
        <w:rPr>
          <w:rFonts w:ascii="Lucida Calligraphy" w:hAnsi="Lucida Calligraphy" w:eastAsia="Lucida Calligraphy" w:cs="Lucida Calligraphy"/>
          <w:b/>
          <w:b/>
          <w:sz w:val="32"/>
          <w:szCs w:val="20"/>
          <w:lang w:eastAsia="it-IT"/>
        </w:rPr>
      </w:pPr>
      <w:r>
        <w:rPr>
          <w:rFonts w:eastAsia="Lucida Calligraphy" w:cs="Lucida Calligraphy" w:ascii="Lucida Calligraphy" w:hAnsi="Lucida Calligraphy"/>
          <w:b/>
          <w:sz w:val="32"/>
          <w:szCs w:val="20"/>
          <w:lang w:eastAsia="it-IT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2593340</wp:posOffset>
            </wp:positionH>
            <wp:positionV relativeFrom="paragraph">
              <wp:posOffset>-76835</wp:posOffset>
            </wp:positionV>
            <wp:extent cx="570865" cy="541020"/>
            <wp:effectExtent l="0" t="0" r="0" b="0"/>
            <wp:wrapNone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9" t="-54" r="-59" b="-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ind w:start="0" w:hanging="0"/>
        <w:jc w:val="start"/>
        <w:rPr>
          <w:rFonts w:ascii="Lucida Calligraphy" w:hAnsi="Lucida Calligraphy" w:eastAsia="Lucida Calligraphy" w:cs="Lucida Calligraphy"/>
          <w:b/>
          <w:b/>
          <w:sz w:val="32"/>
          <w:szCs w:val="20"/>
          <w:lang w:eastAsia="it-IT"/>
        </w:rPr>
      </w:pPr>
      <w:r>
        <w:rPr>
          <w:rFonts w:eastAsia="Lucida Calligraphy" w:cs="Lucida Calligraphy" w:ascii="Lucida Calligraphy" w:hAnsi="Lucida Calligraphy"/>
          <w:b/>
          <w:sz w:val="32"/>
          <w:szCs w:val="20"/>
          <w:lang w:eastAsia="it-IT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i/>
          <w:iCs/>
          <w:color w:val="000000"/>
          <w:sz w:val="28"/>
          <w:szCs w:val="28"/>
        </w:rPr>
        <w:t>Ministero dell’Istruzione, dell’Università e della Ricerca</w:t>
      </w:r>
    </w:p>
    <w:p>
      <w:pPr>
        <w:pStyle w:val="Normal"/>
        <w:spacing w:lineRule="auto" w:line="240" w:before="0" w:after="0"/>
        <w:jc w:val="center"/>
        <w:rPr/>
      </w:pPr>
      <w:r>
        <w:rPr>
          <w:i/>
          <w:iCs/>
          <w:color w:val="000000"/>
          <w:sz w:val="16"/>
          <w:szCs w:val="16"/>
        </w:rPr>
        <w:t>AMBITO AV 01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ISTITUTO COMPRENSIVO STATALE “PRATOLA SERRA”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Script MT Bold" w:ascii="Script MT Bold" w:hAnsi="Script MT Bold"/>
          <w:b/>
          <w:i/>
        </w:rPr>
        <w:t>Scuola  dell'Infanzia</w:t>
      </w:r>
      <w:r>
        <w:rPr>
          <w:rFonts w:cs="Script MT Bold" w:ascii="Script MT Bold" w:hAnsi="Script MT Bold"/>
          <w:i/>
        </w:rPr>
        <w:t xml:space="preserve"> – Scuola Primaria – Scuola Secondaria di 1° Grado 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0000"/>
          <w:sz w:val="20"/>
          <w:szCs w:val="20"/>
        </w:rPr>
        <w:t>Via Saudelle, 24</w:t>
      </w:r>
    </w:p>
    <w:p>
      <w:pPr>
        <w:pStyle w:val="Normal"/>
        <w:spacing w:lineRule="auto" w:line="240" w:before="0" w:after="0"/>
        <w:jc w:val="center"/>
        <w:rPr/>
      </w:pPr>
      <w:r>
        <w:rPr>
          <w:b/>
          <w:bCs/>
          <w:color w:val="000000"/>
          <w:sz w:val="20"/>
          <w:szCs w:val="20"/>
        </w:rPr>
        <w:t>83039 PRATOLA SERRA (AV</w:t>
      </w:r>
      <w:r>
        <w:rPr>
          <w:color w:val="000000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center"/>
        <w:rPr/>
      </w:pPr>
      <w:r>
        <w:rPr>
          <w:color w:val="000000"/>
          <w:sz w:val="18"/>
          <w:szCs w:val="18"/>
        </w:rPr>
        <w:t>Tel. 0825/967075 -  C.F.</w:t>
      </w:r>
      <w:r>
        <w:rPr>
          <w:sz w:val="20"/>
          <w:szCs w:val="20"/>
        </w:rPr>
        <w:t>80008530646- Cod.Min. AVIC857002</w:t>
      </w:r>
    </w:p>
    <w:p>
      <w:pPr>
        <w:pStyle w:val="Titoloprincipale"/>
        <w:rPr/>
      </w:pPr>
      <w:r>
        <w:rPr>
          <w:sz w:val="16"/>
          <w:szCs w:val="16"/>
        </w:rPr>
        <w:t>E -MAIL</w:t>
      </w:r>
      <w:r>
        <w:rPr>
          <w:sz w:val="20"/>
          <w:szCs w:val="20"/>
        </w:rPr>
        <w:t xml:space="preserve"> </w:t>
      </w:r>
      <w:hyperlink r:id="rId3">
        <w:r>
          <w:rPr>
            <w:rStyle w:val="CollegamentoInternet"/>
            <w:sz w:val="20"/>
            <w:szCs w:val="20"/>
          </w:rPr>
          <w:t>avic857002@istruzione.it-</w:t>
        </w:r>
      </w:hyperlink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PEC</w:t>
      </w:r>
      <w:r>
        <w:rPr>
          <w:sz w:val="20"/>
          <w:szCs w:val="20"/>
        </w:rPr>
        <w:t xml:space="preserve"> </w:t>
      </w:r>
      <w:hyperlink r:id="rId4">
        <w:r>
          <w:rPr>
            <w:rStyle w:val="CollegamentoInternet"/>
            <w:sz w:val="20"/>
            <w:szCs w:val="20"/>
          </w:rPr>
          <w:t>avic857002@pec.istruzione.it</w:t>
        </w:r>
      </w:hyperlink>
      <w:r>
        <w:rPr>
          <w:sz w:val="20"/>
          <w:szCs w:val="20"/>
        </w:rPr>
        <w:t xml:space="preserve"> - </w:t>
      </w:r>
      <w:r>
        <w:rPr>
          <w:sz w:val="16"/>
          <w:szCs w:val="16"/>
        </w:rPr>
        <w:t>SITO WEB</w:t>
      </w:r>
      <w:r>
        <w:rPr>
          <w:sz w:val="20"/>
          <w:szCs w:val="20"/>
        </w:rPr>
        <w:t xml:space="preserve"> </w:t>
      </w:r>
      <w:hyperlink r:id="rId5">
        <w:r>
          <w:rPr>
            <w:rStyle w:val="CollegamentoInternet"/>
            <w:sz w:val="20"/>
            <w:szCs w:val="20"/>
          </w:rPr>
          <w:t>www.icpratolaserra.gov.it</w:t>
        </w:r>
      </w:hyperlink>
    </w:p>
    <w:p>
      <w:pPr>
        <w:pStyle w:val="Titoloprincipal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rPr>
          <w:rFonts w:ascii="Arial Black" w:hAnsi="Arial Black"/>
          <w:b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Prot. 3454 del 16/05/19</w:t>
      </w:r>
    </w:p>
    <w:tbl>
      <w:tblPr>
        <w:tblW w:w="10315" w:type="dxa"/>
        <w:jc w:val="start"/>
        <w:tblInd w:w="-142" w:type="dxa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265"/>
        <w:gridCol w:w="5049"/>
      </w:tblGrid>
      <w:tr>
        <w:trPr>
          <w:trHeight w:val="53" w:hRule="atLeast"/>
        </w:trPr>
        <w:tc>
          <w:tcPr>
            <w:tcW w:w="526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/>
                <w:i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/>
                <w:i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Calibri" w:cs="Times New Roman" w:ascii="Calibri" w:hAnsi="Calibri"/>
                <w:b/>
                <w:i/>
                <w:sz w:val="144"/>
                <w:szCs w:val="144"/>
              </w:rPr>
              <w:t>M</w:t>
            </w:r>
          </w:p>
        </w:tc>
        <w:tc>
          <w:tcPr>
            <w:tcW w:w="5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ONITORAGGIO</w:t>
            </w:r>
          </w:p>
        </w:tc>
      </w:tr>
      <w:tr>
        <w:trPr>
          <w:trHeight w:val="576" w:hRule="atLeast"/>
        </w:trPr>
        <w:tc>
          <w:tcPr>
            <w:tcW w:w="526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/>
                <w:i/>
                <w:sz w:val="24"/>
                <w:szCs w:val="24"/>
              </w:rPr>
            </w:r>
          </w:p>
        </w:tc>
        <w:tc>
          <w:tcPr>
            <w:tcW w:w="5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QUESTIONARIO</w:t>
            </w:r>
          </w:p>
          <w:p>
            <w:pPr>
              <w:pStyle w:val="Normal"/>
              <w:rPr>
                <w:sz w:val="40"/>
                <w:szCs w:val="40"/>
              </w:rPr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 xml:space="preserve"> </w:t>
            </w: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 xml:space="preserve">DI </w:t>
            </w:r>
          </w:p>
          <w:p>
            <w:pPr>
              <w:pStyle w:val="Normal"/>
              <w:rPr>
                <w:sz w:val="40"/>
                <w:szCs w:val="40"/>
              </w:rPr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 xml:space="preserve">INDAGINE ALUNNI CLASSI PRIME </w:t>
            </w:r>
          </w:p>
          <w:p>
            <w:pPr>
              <w:pStyle w:val="Normal"/>
              <w:rPr>
                <w:rFonts w:ascii="Calibri" w:hAnsi="Calibri" w:eastAsia="Calibri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Calibri" w:hAnsi="Calibri"/>
                <w:b/>
                <w:i/>
              </w:rPr>
            </w:r>
          </w:p>
          <w:p>
            <w:pPr>
              <w:pStyle w:val="Normal"/>
              <w:rPr>
                <w:sz w:val="40"/>
                <w:szCs w:val="40"/>
              </w:rPr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SCUOLA SECONDARIA DI I GRADO</w:t>
            </w:r>
          </w:p>
          <w:p>
            <w:pPr>
              <w:pStyle w:val="Normal"/>
              <w:rPr>
                <w:sz w:val="40"/>
                <w:szCs w:val="40"/>
              </w:rPr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PRATOLA SERRA- MONTEFALCIONE</w:t>
            </w:r>
          </w:p>
          <w:p>
            <w:pPr>
              <w:pStyle w:val="Normal"/>
              <w:rPr>
                <w:rFonts w:ascii="Calibri" w:hAnsi="Calibri" w:eastAsia="Calibri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Calibri" w:hAnsi="Calibri"/>
                <w:b/>
                <w:i/>
              </w:rPr>
            </w:r>
          </w:p>
          <w:p>
            <w:pPr>
              <w:pStyle w:val="Normal"/>
              <w:rPr>
                <w:sz w:val="40"/>
                <w:szCs w:val="40"/>
              </w:rPr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SUI SERVIZI OFFERTI DALLA SCUOLA</w:t>
            </w:r>
          </w:p>
        </w:tc>
      </w:tr>
      <w:tr>
        <w:trPr>
          <w:trHeight w:val="376" w:hRule="atLeast"/>
        </w:trPr>
        <w:tc>
          <w:tcPr>
            <w:tcW w:w="52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eastAsia="Calibri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Calibri" w:hAnsi="Calibri"/>
                <w:b/>
                <w:i/>
                <w:sz w:val="24"/>
                <w:szCs w:val="24"/>
              </w:rPr>
            </w:r>
          </w:p>
        </w:tc>
        <w:tc>
          <w:tcPr>
            <w:tcW w:w="50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 w:cs="Times New Roman"/>
                <w:b/>
                <w:b/>
                <w:i/>
                <w:i/>
              </w:rPr>
            </w:pPr>
            <w:r>
              <w:rPr>
                <w:rFonts w:eastAsia="Calibri" w:cs="Times New Roman" w:ascii="Calibri" w:hAnsi="Calibri"/>
                <w:b/>
                <w:i/>
              </w:rPr>
            </w:r>
          </w:p>
          <w:p>
            <w:pPr>
              <w:pStyle w:val="Normal"/>
              <w:rPr/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AZIONE PRESIDIATA</w:t>
            </w:r>
          </w:p>
          <w:p>
            <w:pPr>
              <w:pStyle w:val="Normal"/>
              <w:rPr/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DAL DIRIGENTE</w:t>
            </w:r>
          </w:p>
          <w:p>
            <w:pPr>
              <w:pStyle w:val="Normal"/>
              <w:rPr/>
            </w:pPr>
            <w:r>
              <w:rPr>
                <w:rFonts w:eastAsia="Calibri" w:cs="Times New Roman" w:ascii="Calibri" w:hAnsi="Calibri"/>
                <w:b/>
                <w:i/>
                <w:sz w:val="40"/>
                <w:szCs w:val="40"/>
              </w:rPr>
              <w:t>SCOLASTICO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>RISULTATI    QUESTIONARI  STUDENTI  CLASSI  PRIME   DELLA SCUOLA  SECONDARIA DI PRIMO GRADO DI   SODDISFAZIONE   SUI SERVIZI    OFFERTI     DALLA     SCUOLA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L’insegnante Giordano Anna, quale membro del Nucleo Interno di Valutazione, ha tabulato le risposte anonime, riservate  e coperte dal segreto statistico, date dagli  alunni delle classi prime della  scuola secondaria di I grado di Pratola Serra e Montefalcione.  Le informazioni raccolte sono utili alla scuola per migliorarsi.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L’indagine è stata articolata su quattro aree  e per ognuna  delle  quali vi erano delle domande guida (a- b-c-d-e-f):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 xml:space="preserve">Immagine 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>Coinvolgimento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>Trasparenza e informazione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b/>
          <w:sz w:val="24"/>
          <w:szCs w:val="24"/>
        </w:rPr>
        <w:t>Offerta formativa</w:t>
      </w:r>
    </w:p>
    <w:p>
      <w:pPr>
        <w:pStyle w:val="Normal"/>
        <w:rPr/>
      </w:pPr>
      <w:r>
        <w:rPr>
          <w:rFonts w:eastAsia="Calibri" w:cs="Arial" w:ascii="Arial" w:hAnsi="Arial"/>
          <w:sz w:val="28"/>
          <w:szCs w:val="28"/>
        </w:rPr>
        <w:t>.</w:t>
      </w:r>
    </w:p>
    <w:p>
      <w:pPr>
        <w:pStyle w:val="Normal"/>
        <w:rPr/>
      </w:pPr>
      <w:r>
        <w:rPr>
          <w:rFonts w:cs="Arial" w:ascii="Arial" w:hAnsi="Arial"/>
          <w:b/>
          <w:sz w:val="24"/>
          <w:szCs w:val="24"/>
        </w:rPr>
        <w:t>Questioni emerse in ordine a suggerimenti o proposte: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eastAsia="Calibri" w:cs="Arial" w:ascii="Arial" w:hAnsi="Arial"/>
          <w:sz w:val="24"/>
          <w:szCs w:val="24"/>
        </w:rPr>
        <w:t>-più uso dei laboratori;</w:t>
      </w:r>
    </w:p>
    <w:p>
      <w:pPr>
        <w:pStyle w:val="Normal"/>
        <w:rPr/>
      </w:pPr>
      <w:r>
        <w:rPr>
          <w:rFonts w:eastAsia="Calibri" w:cs="Arial" w:ascii="Arial" w:hAnsi="Arial"/>
          <w:sz w:val="24"/>
          <w:szCs w:val="24"/>
        </w:rPr>
        <w:t>-tempo prolungato strutturato diversamente(sabato libero)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eastAsia="Calibri" w:cs="Arial" w:ascii="Arial" w:hAnsi="Arial"/>
          <w:sz w:val="24"/>
          <w:szCs w:val="24"/>
        </w:rPr>
        <w:t xml:space="preserve">                                         </w:t>
      </w:r>
    </w:p>
    <w:p>
      <w:pPr>
        <w:pStyle w:val="Normal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              </w:t>
      </w:r>
      <w:r>
        <w:rPr>
          <w:rFonts w:cs="Arial" w:ascii="Arial" w:hAnsi="Arial"/>
          <w:b/>
          <w:sz w:val="28"/>
          <w:szCs w:val="28"/>
        </w:rPr>
        <w:t>AREA      IMMAGINE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5762625" cy="323913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cs="Arial" w:ascii="Arial" w:hAnsi="Arial"/>
          <w:b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 xml:space="preserve">                              </w:t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 xml:space="preserve">                                  </w:t>
      </w:r>
      <w:r>
        <w:rPr>
          <w:rFonts w:cs="Arial" w:ascii="Arial" w:hAnsi="Arial"/>
          <w:b/>
          <w:sz w:val="28"/>
          <w:szCs w:val="28"/>
        </w:rPr>
        <w:t>AREA       COINVOLGIMENTO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5264785" cy="2962275"/>
            <wp:effectExtent l="0" t="0" r="0" b="0"/>
            <wp:docPr id="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rPr/>
      </w:pPr>
      <w:r>
        <w:rPr>
          <w:rFonts w:cs="Arial" w:ascii="Arial" w:hAnsi="Arial"/>
          <w:b/>
          <w:sz w:val="28"/>
          <w:szCs w:val="28"/>
        </w:rPr>
        <w:t xml:space="preserve">             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</w:t>
      </w:r>
      <w:r>
        <w:rPr>
          <w:rFonts w:cs="Arial" w:ascii="Arial" w:hAnsi="Arial"/>
          <w:b/>
          <w:sz w:val="28"/>
          <w:szCs w:val="28"/>
        </w:rPr>
        <w:t>AREA           TRASPARENZA  E   INFORMAZIONE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5759450" cy="323977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                         </w:t>
      </w:r>
      <w:r>
        <w:rPr>
          <w:rFonts w:cs="Arial" w:ascii="Arial" w:hAnsi="Arial"/>
          <w:b/>
          <w:sz w:val="28"/>
          <w:szCs w:val="28"/>
        </w:rPr>
        <w:t>AREA         OFFERTA    FORMATIVA</w:t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end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start"/>
        <w:rPr>
          <w:rFonts w:ascii="Arial" w:hAnsi="Arial" w:cs="Arial"/>
          <w:b/>
          <w:b/>
          <w:sz w:val="28"/>
          <w:szCs w:val="28"/>
        </w:rPr>
      </w:pPr>
      <w:r>
        <w:rPr/>
        <w:drawing>
          <wp:inline distT="0" distB="0" distL="0" distR="0">
            <wp:extent cx="5759450" cy="3239770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jc w:val="star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star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star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start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jc w:val="end"/>
        <w:rPr/>
      </w:pPr>
      <w:r>
        <w:rPr>
          <w:rFonts w:cs="Arial" w:ascii="Arial" w:hAnsi="Arial"/>
          <w:b/>
          <w:sz w:val="24"/>
          <w:szCs w:val="24"/>
        </w:rPr>
        <w:t>L’insegnante, membro del nucleo interno di valutazione:</w:t>
      </w:r>
    </w:p>
    <w:p>
      <w:pPr>
        <w:pStyle w:val="Normal"/>
        <w:jc w:val="end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Anna Giordano</w:t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start="0" w:hanging="0"/>
        <w:rPr/>
      </w:pPr>
      <w:bookmarkStart w:id="0" w:name="__DdeLink__2100_565764115"/>
      <w:bookmarkEnd w:id="0"/>
      <w:r>
        <w:rPr>
          <w:rFonts w:eastAsia="Times New Roman" w:cs="Lucida Calligraphy" w:ascii="Lucida Calligraphy" w:hAnsi="Lucida Calligraphy"/>
          <w:b/>
          <w:sz w:val="32"/>
          <w:szCs w:val="20"/>
          <w:lang w:eastAsia="it-IT"/>
        </w:rPr>
        <w:t>ISTITUTO COMPRENSIVO DI PRATOLA SERRA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start="0" w:hanging="0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star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0"/>
          <w:u w:val="single"/>
          <w:lang w:val="it-IT" w:eastAsia="it-IT"/>
        </w:rPr>
        <w:t>QUESTIONARIO  STUDENTI A.S. 20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0"/>
          <w:u w:val="single"/>
          <w:lang w:eastAsia="it-IT"/>
        </w:rPr>
        <w:t>18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0"/>
          <w:u w:val="single"/>
          <w:lang w:val="it-IT" w:eastAsia="it-IT"/>
        </w:rPr>
        <w:t xml:space="preserve"> / 20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0"/>
          <w:u w:val="single"/>
          <w:lang w:eastAsia="it-IT"/>
        </w:rPr>
        <w:t>19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>Il nostro Istituto sta conducendo un’indagine per rilevare il livello di soddisfazione per il servizio offerto.</w:t>
      </w:r>
      <w:r>
        <w:rPr>
          <w:rFonts w:eastAsia="Times New Roman" w:cs="Times New Roman" w:ascii="Times New Roman" w:hAnsi="Times New Roman"/>
          <w:b/>
          <w:bCs/>
          <w:i/>
          <w:sz w:val="24"/>
          <w:szCs w:val="20"/>
          <w:lang w:eastAsia="it-IT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it-IT"/>
        </w:rPr>
        <w:t xml:space="preserve">Il presente questionario ha lo scopo di 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 xml:space="preserve"> individuare gli aspetti della vita scolastica per i quali è avvertita maggiore o minore soddisfazione</w:t>
      </w: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it-IT"/>
        </w:rPr>
        <w:t>; esso servirà quindi a fornire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sz w:val="20"/>
          <w:szCs w:val="20"/>
          <w:lang w:eastAsia="it-IT"/>
        </w:rPr>
        <w:t>elementi  per migliorare l’offerta didattica e formativa dell’Istituto.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>Ti chiediamo dunque di compilare il seguente questionario anonimo che ci sarà utile per conoscere la tua opinione.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>Rispondi barrando con una  X  un numero da 1 a 3: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 xml:space="preserve">1 = per niente/ poco d’accordo;  2 =  d’accordo;  3 = pienamente d’accordo;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0"/>
          <w:szCs w:val="20"/>
          <w:lang w:eastAsia="it-IT"/>
        </w:rPr>
        <w:t>Grazie per la collaborazione.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it-IT"/>
        </w:rPr>
      </w:r>
    </w:p>
    <w:tbl>
      <w:tblPr>
        <w:tblW w:w="9958" w:type="dxa"/>
        <w:jc w:val="start"/>
        <w:tblInd w:w="-75" w:type="dxa"/>
        <w:tblCellMar>
          <w:top w:w="0" w:type="dxa"/>
          <w:start w:w="70" w:type="dxa"/>
          <w:bottom w:w="0" w:type="dxa"/>
          <w:end w:w="70" w:type="dxa"/>
        </w:tblCellMar>
      </w:tblPr>
      <w:tblGrid>
        <w:gridCol w:w="490"/>
        <w:gridCol w:w="7229"/>
        <w:gridCol w:w="1"/>
        <w:gridCol w:w="849"/>
        <w:gridCol w:w="709"/>
        <w:gridCol w:w="680"/>
      </w:tblGrid>
      <w:tr>
        <w:trPr>
          <w:trHeight w:val="531" w:hRule="atLeast"/>
          <w:cantSplit w:val="true"/>
        </w:trPr>
        <w:tc>
          <w:tcPr>
            <w:tcW w:w="77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napToGrid w:val="false"/>
              <w:spacing w:lineRule="auto" w:line="240" w:before="200" w:after="0"/>
              <w:ind w:start="0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Cs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eastAsia="it-IT"/>
              </w:rPr>
            </w:r>
          </w:p>
        </w:tc>
        <w:tc>
          <w:tcPr>
            <w:tcW w:w="2239" w:type="dxa"/>
            <w:gridSpan w:val="4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it-IT"/>
              </w:rPr>
              <w:t>PUNTEGGIO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>1= per niente/Poco  d’accordo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2=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>d’accordo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3=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it-IT"/>
              </w:rPr>
              <w:t>pienamente d’accordo</w:t>
            </w:r>
          </w:p>
        </w:tc>
      </w:tr>
      <w:tr>
        <w:trPr>
          <w:trHeight w:val="529" w:hRule="atLeast"/>
          <w:cantSplit w:val="true"/>
        </w:trPr>
        <w:tc>
          <w:tcPr>
            <w:tcW w:w="7719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40" w:before="200" w:after="0"/>
              <w:ind w:start="0" w:hanging="0"/>
              <w:rPr/>
            </w:pPr>
            <w:r>
              <w:rPr>
                <w:rFonts w:eastAsia="Cambria" w:cs="Cambria"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      </w:t>
            </w:r>
            <w:r>
              <w:rPr>
                <w:rFonts w:eastAsia="Times New Roman" w:cs="Cambria" w:ascii="Cambria" w:hAnsi="Cambria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Immagine </w:t>
            </w:r>
          </w:p>
        </w:tc>
        <w:tc>
          <w:tcPr>
            <w:tcW w:w="2239" w:type="dxa"/>
            <w:gridSpan w:val="4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it-IT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La Dirigenza è disponibile ad ascoltare i problemi e trovare soluzioni.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Il personale di segreteria è disponibile.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La scuola si impegna per l'innovazione.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I locali della scuola sono accoglienti e puliti.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Le iniziative della scuola sono conosciute sul territorio.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9958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  <w:lang w:eastAsia="it-IT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  <w:lang w:eastAsia="it-IT"/>
              </w:rPr>
              <w:t>Coinvolgimento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Gli insegnanti incoraggiano e valorizzano la partecipazione degli studenti.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I miei compagni si comportano correttamente con me.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I collaboratori scolastici sono disponibili.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Gli studenti sono coinvolti nelle scelte e sollecitati a dare il proprio contributo.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Fra insegnanti e studenti esiste positiva collaborazione.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Sto bene a scuola.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9958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  <w:lang w:eastAsia="it-IT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  <w:lang w:eastAsia="it-IT"/>
              </w:rPr>
              <w:t>Trasparenza e informazione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Le regole stabilite dall’ Istituto sono comunicate chiaramente.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Le regole dell'istituto sono applicate in modo coerente.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I voti mi vengono regolarmente comunicati.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ind w:start="95" w:end="0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Gli insegnanti comunicano gli obiettivi e i criteri di valutazione adottati dalla scuola.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9958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  <w:lang w:eastAsia="it-IT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sz w:val="28"/>
                <w:szCs w:val="28"/>
                <w:lang w:eastAsia="it-IT"/>
              </w:rPr>
              <w:t>Offerta formativa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Quello che si impara a scuola è utile per le scelte future.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Le attività extracurricolari sono efficaci.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23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Gli insegnanti aiutano gli studenti a superare problemi e difficoltà.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381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Le valutazioni degli insegnanti rispecchiano i criteri di valutazione.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381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I docenti della scuola insegnano bene la loro materia.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  <w:tr>
        <w:trPr>
          <w:trHeight w:val="437" w:hRule="atLeast"/>
          <w:cantSplit w:val="true"/>
        </w:trPr>
        <w:tc>
          <w:tcPr>
            <w:tcW w:w="49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it-IT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it-IT"/>
              </w:rPr>
              <w:t>Sono soddisfatto della preparazione fornita dalla scuola.</w:t>
            </w:r>
          </w:p>
        </w:tc>
        <w:tc>
          <w:tcPr>
            <w:tcW w:w="84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it-IT"/>
              </w:rPr>
              <w:t>3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it-IT"/>
        </w:rPr>
        <w:t>Suggerimenti utili per migliorare: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it-IT"/>
        </w:rPr>
        <w:t>……………………………………………………………</w:t>
      </w: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it-IT"/>
        </w:rPr>
        <w:t>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color w:val="000000"/>
          <w:sz w:val="20"/>
          <w:szCs w:val="20"/>
          <w:lang w:eastAsia="it-IT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it-IT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i/>
          <w:color w:val="000000"/>
          <w:sz w:val="20"/>
          <w:szCs w:val="20"/>
          <w:lang w:eastAsia="it-IT"/>
        </w:rPr>
        <w:t xml:space="preserve">................................................................................................................................................................................................               </w:t>
      </w:r>
    </w:p>
    <w:p>
      <w:pPr>
        <w:pStyle w:val="Normal"/>
        <w:spacing w:lineRule="auto" w:line="240" w:before="0" w:after="0"/>
        <w:jc w:val="start"/>
        <w:rPr>
          <w:sz w:val="24"/>
          <w:szCs w:val="24"/>
        </w:rPr>
      </w:pPr>
      <w:r>
        <w:rPr>
          <w:sz w:val="24"/>
          <w:szCs w:val="24"/>
        </w:rPr>
      </w:r>
      <w:bookmarkStart w:id="1" w:name="__DdeLink__2100_565764115"/>
      <w:bookmarkStart w:id="2" w:name="__DdeLink__2100_565764115"/>
      <w:bookmarkEnd w:id="2"/>
    </w:p>
    <w:p>
      <w:pPr>
        <w:pStyle w:val="Normal"/>
        <w:jc w:val="star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en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Lucida Calligraphy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Script MT Bold">
    <w:charset w:val="00" w:characterSet="windows-1252"/>
    <w:family w:val="roman"/>
    <w:pitch w:val="variable"/>
  </w:font>
  <w:font w:name="Arial Black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start"/>
      <w:pPr>
        <w:ind w:star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start"/>
      <w:pPr>
        <w:ind w:star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start"/>
      <w:pPr>
        <w:ind w:star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start"/>
      <w:pPr>
        <w:ind w:star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start"/>
      <w:pPr>
        <w:ind w:star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start"/>
      <w:pPr>
        <w:ind w:star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start"/>
      <w:pPr>
        <w:ind w:star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start"/>
      <w:pPr>
        <w:ind w:star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start"/>
      <w:pPr>
        <w:ind w:star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ListLabel15">
    <w:name w:val="ListLabel 15"/>
    <w:qFormat/>
    <w:rPr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36"/>
      <w:szCs w:val="24"/>
      <w:lang w:eastAsia="it-IT" w:bidi="he-IL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vic857002@istruzione.it-" TargetMode="External"/><Relationship Id="rId4" Type="http://schemas.openxmlformats.org/officeDocument/2006/relationships/hyperlink" Target="mailto:avic857002@pec.istruzione.it" TargetMode="External"/><Relationship Id="rId5" Type="http://schemas.openxmlformats.org/officeDocument/2006/relationships/hyperlink" Target="http://www.icpratolaserra.gov.it/" TargetMode="Externa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chart" Target="charts/chart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30"/>
      <c:rotY val="0"/>
      <c:rAngAx val="0"/>
      <c:perspective val="1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099125"/>
          <c:y val="0.168333333333333"/>
          <c:w val="0.638375"/>
          <c:h val="0.680777777777778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Colonna 3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PER NIENTE D'ACCORDO</c:v>
                </c:pt>
                <c:pt idx="1">
                  <c:v>D'ACCORDO</c:v>
                </c:pt>
                <c:pt idx="2">
                  <c:v>PIENAMENTE D'ACCORDO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/>
                </c:pt>
                <c:pt idx="1">
                  <c:v>6.5</c:v>
                </c:pt>
                <c:pt idx="2">
                  <c:v>4.5</c:v>
                </c:pt>
                <c:pt idx="3">
                  <c:v/>
                </c:pt>
              </c:numCache>
            </c:numRef>
          </c:val>
        </c:ser>
      </c:pie3DChart>
    </c:plotArea>
    <c:legend>
      <c:layout>
        <c:manualLayout>
          <c:xMode val="edge"/>
          <c:yMode val="edge"/>
          <c:x val="0.759125"/>
          <c:y val="0.366222222222222"/>
          <c:w val="0.240765047815488"/>
          <c:h val="0.208467607511946"/>
        </c:manualLayout>
      </c:layout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zero"/>
  </c:chart>
  <c:spPr>
    <a:noFill/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30"/>
      <c:rotY val="0"/>
      <c:rAngAx val="0"/>
      <c:perspective val="1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Colonna 3</c:v>
                </c:pt>
              </c:strCache>
            </c:strRef>
          </c:tx>
          <c:spPr>
            <a:solidFill>
              <a:srgbClr val="ff420e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PER NIENTE D'ACCORDO</c:v>
                </c:pt>
                <c:pt idx="1">
                  <c:v>D'ACCORDO</c:v>
                </c:pt>
                <c:pt idx="2">
                  <c:v>PIENAMENTE D'ACCORDO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</c:v>
                </c:pt>
                <c:pt idx="1">
                  <c:v>7.1</c:v>
                </c:pt>
                <c:pt idx="2">
                  <c:v>2.9</c:v>
                </c:pt>
                <c:pt idx="3">
                  <c:v/>
                </c:pt>
              </c:numCache>
            </c:numRef>
          </c:val>
        </c:ser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zero"/>
  </c:chart>
  <c:spPr>
    <a:noFill/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30"/>
      <c:rotY val="0"/>
      <c:rAngAx val="0"/>
      <c:perspective val="1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Colonna 3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PER NIENTE D'ACCORDO</c:v>
                </c:pt>
                <c:pt idx="1">
                  <c:v>D'ACCORDO</c:v>
                </c:pt>
                <c:pt idx="2">
                  <c:v>PIENAMENTE D'ACCORDO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1.1</c:v>
                </c:pt>
                <c:pt idx="1">
                  <c:v>8.1</c:v>
                </c:pt>
                <c:pt idx="2">
                  <c:v>1.8</c:v>
                </c:pt>
                <c:pt idx="3">
                  <c:v/>
                </c:pt>
              </c:numCache>
            </c:numRef>
          </c:val>
        </c:ser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zero"/>
  </c:chart>
  <c:spPr>
    <a:noFill/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30"/>
      <c:rotY val="0"/>
      <c:rAngAx val="0"/>
      <c:perspective val="10"/>
    </c:view3D>
    <c:floor>
      <c:spPr>
        <a:solidFill>
          <a:srgbClr val="d9d9d9"/>
        </a:solidFill>
        <a:ln>
          <a:noFill/>
        </a:ln>
      </c:spPr>
    </c:floor>
    <c:sideWall>
      <c:spPr>
        <a:solidFill>
          <a:srgbClr val="d9d9d9"/>
        </a:solidFill>
        <a:ln>
          <a:noFill/>
        </a:ln>
      </c:spPr>
    </c:sideWall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Colonna 3</c:v>
                </c:pt>
              </c:strCache>
            </c:strRef>
          </c:tx>
          <c:spPr>
            <a:solidFill>
              <a:srgbClr val="004586"/>
            </a:solidFill>
            <a:ln>
              <a:noFill/>
            </a:ln>
          </c:spPr>
          <c:explosion val="0"/>
          <c:dPt>
            <c:idx val="0"/>
            <c:spPr>
              <a:solidFill>
                <a:srgbClr val="004586"/>
              </a:solidFill>
              <a:ln>
                <a:noFill/>
              </a:ln>
            </c:spPr>
          </c:dPt>
          <c:dPt>
            <c:idx val="1"/>
            <c:spPr>
              <a:solidFill>
                <a:srgbClr val="ff420e"/>
              </a:solidFill>
              <a:ln>
                <a:noFill/>
              </a:ln>
            </c:spPr>
          </c:dPt>
          <c:dPt>
            <c:idx val="2"/>
            <c:spPr>
              <a:solidFill>
                <a:srgbClr val="ffd320"/>
              </a:solidFill>
              <a:ln>
                <a:noFill/>
              </a:ln>
            </c:spPr>
          </c:dPt>
          <c:dPt>
            <c:idx val="3"/>
            <c:spPr>
              <a:solidFill>
                <a:srgbClr val="579d1c"/>
              </a:solidFill>
              <a:ln>
                <a:noFill/>
              </a:ln>
            </c:spPr>
          </c:dPt>
          <c:dLbls>
            <c:numFmt formatCode="General" sourceLinked="1"/>
            <c:dLbl>
              <c:idx val="0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1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2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dLbl>
              <c:idx val="3"/>
              <c:txPr>
                <a:bodyPr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dLblPos val="bestFit"/>
              <c:showLegendKey val="0"/>
              <c:showVal val="0"/>
              <c:showCatName val="0"/>
              <c:showSerName val="0"/>
              <c:showPercent val="0"/>
              <c:separator> </c:separator>
            </c:dLbl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eparator> </c:separator>
            <c:showLeaderLines val="0"/>
          </c:dLbls>
          <c:cat>
            <c:strRef>
              <c:f>categories</c:f>
              <c:strCache>
                <c:ptCount val="4"/>
                <c:pt idx="0">
                  <c:v>PER NIENTE D'ACCORDO</c:v>
                </c:pt>
                <c:pt idx="1">
                  <c:v>D'ACCORDO</c:v>
                </c:pt>
                <c:pt idx="2">
                  <c:v>PIENAMENTE D'ACCORDO</c:v>
                </c:pt>
                <c:pt idx="3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0.7</c:v>
                </c:pt>
                <c:pt idx="1">
                  <c:v>8.3</c:v>
                </c:pt>
                <c:pt idx="2">
                  <c:v>1</c:v>
                </c:pt>
                <c:pt idx="3">
                  <c:v/>
                </c:pt>
              </c:numCache>
            </c:numRef>
          </c:val>
        </c:ser>
      </c:pie3DChart>
    </c:plotArea>
    <c:legend>
      <c:legendPos val="r"/>
      <c:overlay val="0"/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zero"/>
  </c:chart>
  <c:spPr>
    <a:noFill/>
    <a:ln>
      <a:noFill/>
    </a:ln>
  </c:spPr>
</c:chartSpac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LibreOffice/6.2.2.2$Windows_X86_64 LibreOffice_project/2b840030fec2aae0fd2658d8d4f9548af4e3518d</Application>
  <Pages>5</Pages>
  <Words>595</Words>
  <Characters>3543</Characters>
  <CharactersWithSpaces>4349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2019-07-10T15:15:55Z</dcterms:created>
  <dc:creator/>
  <dc:description/>
  <dc:language>it-IT</dc:language>
  <cp:lastModifiedBy/>
  <dcterms:modified xsi:type="dcterms:W3CDTF">2019-07-10T16:07:29Z</dcterms:modified>
  <cp:revision>2</cp:revision>
  <dc:subject/>
  <dc:title/>
</cp:coreProperties>
</file>